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85C00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color w:val="000000"/>
        </w:rPr>
      </w:pPr>
      <w:bookmarkStart w:id="0" w:name="_GoBack"/>
      <w:bookmarkEnd w:id="0"/>
      <w:r>
        <w:rPr>
          <w:rFonts w:ascii="TimesNewRoman,Bold" w:hAnsi="TimesNewRoman,Bold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-457200</wp:posOffset>
                </wp:positionV>
                <wp:extent cx="685800" cy="2286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85C00">
                            <w: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-36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+QgQIAAA4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" stroked="f">
                <v:textbox>
                  <w:txbxContent>
                    <w:p w:rsidR="00000000" w:rsidRDefault="00785C00">
                      <w: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,Bold" w:hAnsi="TimesNewRoman,Bold"/>
          <w:b/>
          <w:bCs/>
          <w:color w:val="000000"/>
        </w:rPr>
        <w:t>MINISTERE DE L'ECONOMIE, DES FINANCES ET DE L’INDUSTRIE</w:t>
      </w:r>
    </w:p>
    <w:p w:rsidR="00000000" w:rsidRDefault="00785C00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color w:val="000000"/>
        </w:rPr>
      </w:pPr>
      <w:r>
        <w:rPr>
          <w:rFonts w:ascii="TimesNewRoman,Bold" w:hAnsi="TimesNewRoman,Bold"/>
          <w:b/>
          <w:bCs/>
          <w:color w:val="000000"/>
        </w:rPr>
        <w:t>––––</w:t>
      </w:r>
    </w:p>
    <w:p w:rsidR="00000000" w:rsidRDefault="00785C00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color w:val="000000"/>
        </w:rPr>
      </w:pPr>
      <w:r>
        <w:rPr>
          <w:rFonts w:ascii="TimesNewRoman,Bold" w:hAnsi="TimesNewRoman,Bold"/>
          <w:b/>
          <w:bCs/>
          <w:color w:val="000000"/>
        </w:rPr>
        <w:t>DIRECTION GENERALE DES IMPOTS</w:t>
      </w:r>
    </w:p>
    <w:p w:rsidR="00000000" w:rsidRDefault="00785C00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color w:val="000000"/>
        </w:rPr>
      </w:pPr>
      <w:r>
        <w:rPr>
          <w:rFonts w:ascii="TimesNewRoman,Bold" w:hAnsi="TimesNewRoman,Bold"/>
          <w:b/>
          <w:bCs/>
          <w:color w:val="000000"/>
        </w:rPr>
        <w:t>––––</w:t>
      </w:r>
    </w:p>
    <w:p w:rsidR="00000000" w:rsidRDefault="00785C00">
      <w:pPr>
        <w:pStyle w:val="Titre1"/>
      </w:pPr>
      <w:r>
        <w:t>CONVENTION</w:t>
      </w:r>
    </w:p>
    <w:p w:rsidR="00000000" w:rsidRDefault="00785C00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color w:val="000000"/>
        </w:rPr>
      </w:pPr>
      <w:proofErr w:type="gramStart"/>
      <w:r>
        <w:rPr>
          <w:rFonts w:ascii="TimesNewRoman,Bold" w:hAnsi="TimesNewRoman,Bold"/>
          <w:b/>
          <w:bCs/>
          <w:color w:val="000000"/>
        </w:rPr>
        <w:t>relative</w:t>
      </w:r>
      <w:proofErr w:type="gramEnd"/>
      <w:r>
        <w:rPr>
          <w:rFonts w:ascii="TimesNewRoman,Bold" w:hAnsi="TimesNewRoman,Bold"/>
          <w:b/>
          <w:bCs/>
          <w:color w:val="000000"/>
        </w:rPr>
        <w:t xml:space="preserve"> à une opération de transfert de données fiscales et comptables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Article 1er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Objet de la convention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Je soussigné, M. ou Mme..................</w:t>
      </w:r>
      <w:r>
        <w:rPr>
          <w:rFonts w:ascii="TimesNewRoman" w:hAnsi="TimesNewRoman"/>
          <w:color w:val="000000"/>
          <w:sz w:val="20"/>
          <w:szCs w:val="20"/>
        </w:rPr>
        <w:t>..............................................................................................................., agissant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en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qualité de.........................................................................................................................</w:t>
      </w:r>
      <w:r>
        <w:rPr>
          <w:rFonts w:ascii="TimesNewRoman" w:hAnsi="TimesNewRoman"/>
          <w:color w:val="000000"/>
          <w:sz w:val="20"/>
          <w:szCs w:val="20"/>
        </w:rPr>
        <w:t>.................pour l'entreprise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(</w:t>
      </w:r>
      <w:proofErr w:type="gramStart"/>
      <w:r>
        <w:rPr>
          <w:rFonts w:ascii="TimesNewRoman" w:hAnsi="TimesNewRoman"/>
          <w:color w:val="000000"/>
          <w:sz w:val="20"/>
          <w:szCs w:val="20"/>
        </w:rPr>
        <w:t>désignation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>, adresse, n° FRP, n° SIR</w:t>
      </w:r>
      <w:r>
        <w:rPr>
          <w:rFonts w:ascii="TimesNewRoman" w:hAnsi="TimesNewRoman"/>
          <w:color w:val="000000"/>
          <w:sz w:val="20"/>
          <w:szCs w:val="20"/>
        </w:rPr>
        <w:t>ET)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déclare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par la présente convention opter pour la procédure de transfert des données fiscales et comptables (TDFC),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laquelle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permet la transition par voie électronique des déclarations de résultats, de leurs annexes et de tout document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les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accompagnant.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Article 2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Caractéristique de la procédure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La procédure assure les fonctions suivantes :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</w:t>
      </w:r>
      <w:r>
        <w:rPr>
          <w:rFonts w:ascii="Symbol" w:hAnsi="Symbol"/>
          <w:color w:val="000000"/>
          <w:sz w:val="20"/>
          <w:szCs w:val="20"/>
        </w:rPr>
        <w:t></w:t>
      </w:r>
      <w:r>
        <w:rPr>
          <w:rFonts w:ascii="TimesNewRoman" w:hAnsi="TimesNewRoman"/>
          <w:color w:val="000000"/>
          <w:sz w:val="20"/>
          <w:szCs w:val="20"/>
        </w:rPr>
        <w:t>l'identification de l'émetteur et de l'auteur de l'acte ;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</w:t>
      </w:r>
      <w:r>
        <w:rPr>
          <w:rFonts w:ascii="Symbol" w:hAnsi="Symbol"/>
          <w:color w:val="000000"/>
          <w:sz w:val="20"/>
          <w:szCs w:val="20"/>
        </w:rPr>
        <w:t></w:t>
      </w:r>
      <w:r>
        <w:rPr>
          <w:rFonts w:ascii="TimesNewRoman" w:hAnsi="TimesNewRoman"/>
          <w:color w:val="000000"/>
          <w:sz w:val="20"/>
          <w:szCs w:val="20"/>
        </w:rPr>
        <w:t>l'intégrité des données ;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</w:t>
      </w:r>
      <w:r>
        <w:rPr>
          <w:rFonts w:ascii="Symbol" w:hAnsi="Symbol"/>
          <w:color w:val="000000"/>
          <w:sz w:val="20"/>
          <w:szCs w:val="20"/>
        </w:rPr>
        <w:t></w:t>
      </w:r>
      <w:r>
        <w:rPr>
          <w:rFonts w:ascii="TimesNewRoman" w:hAnsi="TimesNewRoman"/>
          <w:color w:val="000000"/>
          <w:sz w:val="20"/>
          <w:szCs w:val="20"/>
        </w:rPr>
        <w:t>la lisibilité et la fiabilité de la transmission ;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</w:t>
      </w:r>
      <w:r>
        <w:rPr>
          <w:rFonts w:ascii="Symbol" w:hAnsi="Symbol"/>
          <w:color w:val="000000"/>
          <w:sz w:val="20"/>
          <w:szCs w:val="20"/>
        </w:rPr>
        <w:t></w:t>
      </w:r>
      <w:r>
        <w:rPr>
          <w:rFonts w:ascii="TimesNewRoman" w:hAnsi="TimesNewRoman"/>
          <w:color w:val="000000"/>
          <w:sz w:val="20"/>
          <w:szCs w:val="20"/>
        </w:rPr>
        <w:t>la mémorisation de la da</w:t>
      </w:r>
      <w:r>
        <w:rPr>
          <w:rFonts w:ascii="TimesNewRoman" w:hAnsi="TimesNewRoman"/>
          <w:color w:val="000000"/>
          <w:sz w:val="20"/>
          <w:szCs w:val="20"/>
        </w:rPr>
        <w:t>te de transmission ;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</w:t>
      </w:r>
      <w:r>
        <w:rPr>
          <w:rFonts w:ascii="Symbol" w:hAnsi="Symbol"/>
          <w:color w:val="000000"/>
          <w:sz w:val="20"/>
          <w:szCs w:val="20"/>
        </w:rPr>
        <w:t></w:t>
      </w:r>
      <w:r>
        <w:rPr>
          <w:rFonts w:ascii="TimesNewRoman" w:hAnsi="TimesNewRoman"/>
          <w:color w:val="000000"/>
          <w:sz w:val="20"/>
          <w:szCs w:val="20"/>
        </w:rPr>
        <w:t>l'assurance de la réception ;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</w:t>
      </w:r>
      <w:r>
        <w:rPr>
          <w:rFonts w:ascii="Symbol" w:hAnsi="Symbol"/>
          <w:color w:val="000000"/>
          <w:sz w:val="20"/>
          <w:szCs w:val="20"/>
        </w:rPr>
        <w:t></w:t>
      </w:r>
      <w:r>
        <w:rPr>
          <w:rFonts w:ascii="TimesNewRoman" w:hAnsi="TimesNewRoman"/>
          <w:color w:val="000000"/>
          <w:sz w:val="20"/>
          <w:szCs w:val="20"/>
        </w:rPr>
        <w:t>la conservation des données transmises.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La description complète figure dans un cahier des charges, actualisé chaque année et consultable soit auprès de la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direction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générale des impôts, soit auprès des</w:t>
      </w:r>
      <w:r>
        <w:rPr>
          <w:rFonts w:ascii="TimesNewRoman" w:hAnsi="TimesNewRoman"/>
          <w:color w:val="000000"/>
          <w:sz w:val="20"/>
          <w:szCs w:val="20"/>
        </w:rPr>
        <w:t xml:space="preserve"> partenaires EDI.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Article 3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Transmission des données à la DGI via un mandataire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Pour satisfaire à ses obligations déclaratives, l'adhérent peut recourir aux services d'un mandataire, appelé partenaire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EDI, lequel transmettra les données à la DGI pour son c</w:t>
      </w:r>
      <w:r>
        <w:rPr>
          <w:rFonts w:ascii="TimesNewRoman" w:hAnsi="TimesNewRoman"/>
          <w:color w:val="000000"/>
          <w:sz w:val="20"/>
          <w:szCs w:val="20"/>
        </w:rPr>
        <w:t>ompte.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Dans ce cas, cet intermédiaire dit être désigné sur la présente convention, ou par souscription d'un avenant à celle-ci.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Le cas échéant, désignation du partenaire EDI : </w:t>
      </w:r>
    </w:p>
    <w:p w:rsidR="00000000" w:rsidRDefault="00785C00">
      <w:pPr>
        <w:autoSpaceDE w:val="0"/>
        <w:autoSpaceDN w:val="0"/>
        <w:adjustRightInd w:val="0"/>
        <w:ind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ECM Association - 153, rue de Courcelles 75017 PARIS </w:t>
      </w:r>
      <w:r>
        <w:rPr>
          <w:color w:val="0000FF"/>
          <w:sz w:val="20"/>
          <w:szCs w:val="20"/>
        </w:rPr>
        <w:tab/>
        <w:t xml:space="preserve">N° EDI DGI : 75017 51 </w:t>
      </w:r>
    </w:p>
    <w:p w:rsidR="00000000" w:rsidRDefault="00785C00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E</w:t>
      </w:r>
      <w:r>
        <w:rPr>
          <w:color w:val="0000FF"/>
          <w:sz w:val="20"/>
          <w:szCs w:val="20"/>
        </w:rPr>
        <w:t>t</w:t>
      </w:r>
      <w:r>
        <w:rPr>
          <w:color w:val="0000FF"/>
          <w:sz w:val="20"/>
          <w:szCs w:val="20"/>
        </w:rPr>
        <w:tab/>
        <w:t xml:space="preserve"> CGA du BOURBONNAIS BP 305 03003 MOULINS </w:t>
      </w:r>
      <w:r>
        <w:rPr>
          <w:color w:val="0000FF"/>
          <w:sz w:val="20"/>
          <w:szCs w:val="20"/>
        </w:rPr>
        <w:tab/>
        <w:t>N° EDI DGI : 03003 01</w:t>
      </w:r>
    </w:p>
    <w:p w:rsidR="00000000" w:rsidRDefault="00785C00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Article 4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Caractéristique de la procédure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Les contribuables désirant transmettre directement leurs données à la DGI sont tenus d'obtenir la qualité de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partenaire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EDI et de procéder aux envo</w:t>
      </w:r>
      <w:r>
        <w:rPr>
          <w:rFonts w:ascii="TimesNewRoman" w:hAnsi="TimesNewRoman"/>
          <w:color w:val="000000"/>
          <w:sz w:val="20"/>
          <w:szCs w:val="20"/>
        </w:rPr>
        <w:t>is selon les modalités définies dans le cahier des charges en vigueur.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Pour ceux transmettant leurs données dans le langage normé EDIFACT, il est rappelé que les dispositions de l'article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3 de la convention type des partenaires EDI imposent l'utilisation d</w:t>
      </w:r>
      <w:r>
        <w:rPr>
          <w:rFonts w:ascii="TimesNewRoman" w:hAnsi="TimesNewRoman"/>
          <w:color w:val="000000"/>
          <w:sz w:val="20"/>
          <w:szCs w:val="20"/>
        </w:rPr>
        <w:t>'outils ayant obtenu le label de qualité dans le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cadre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d'un contrôle technique. Les modalités d'attribution de ce label sont décrites dans les cahiers des charges.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Article 5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Cession de données à la Banque de France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Par son adhésion à la présente convention</w:t>
      </w:r>
      <w:r>
        <w:rPr>
          <w:rFonts w:ascii="TimesNewRoman" w:hAnsi="TimesNewRoman"/>
          <w:color w:val="000000"/>
          <w:sz w:val="20"/>
          <w:szCs w:val="20"/>
        </w:rPr>
        <w:t>, l'adhérent autorise l'administration à transmettre à la Banque de France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les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données suivantes : qualité d'adhérent TDFC, dénomination, adresse, numéro SIRET.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Article 6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Exercice du droit d'accès et de rectification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Les droits d'accès et de rectification </w:t>
      </w:r>
      <w:r>
        <w:rPr>
          <w:rFonts w:ascii="TimesNewRoman" w:hAnsi="TimesNewRoman"/>
          <w:color w:val="000000"/>
          <w:sz w:val="20"/>
          <w:szCs w:val="20"/>
        </w:rPr>
        <w:t>aux données acquises via TDFC s'exercent auprès du centre des impôts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gestionnaire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du dossier professionnel du contribuable.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Article 7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/>
          <w:b/>
          <w:bCs/>
          <w:color w:val="000000"/>
          <w:sz w:val="20"/>
          <w:szCs w:val="20"/>
        </w:rPr>
        <w:t>Durée de la convention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La présente convention est conclue pour une durée d'une année et est renouvelable par tacite recond</w:t>
      </w:r>
      <w:r>
        <w:rPr>
          <w:rFonts w:ascii="TimesNewRoman" w:hAnsi="TimesNewRoman"/>
          <w:color w:val="000000"/>
          <w:sz w:val="20"/>
          <w:szCs w:val="20"/>
        </w:rPr>
        <w:t>uction.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Un dépôt papier de la déclaration de résultat vaut résiliation.</w:t>
      </w:r>
    </w:p>
    <w:p w:rsidR="00000000" w:rsidRDefault="00785C00">
      <w:pPr>
        <w:autoSpaceDE w:val="0"/>
        <w:autoSpaceDN w:val="0"/>
        <w:adjustRightInd w:val="0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Fait à ......................................, le ...............................................................</w:t>
      </w:r>
    </w:p>
    <w:p w:rsidR="00000000" w:rsidRDefault="00785C00">
      <w:pPr>
        <w:autoSpaceDE w:val="0"/>
        <w:autoSpaceDN w:val="0"/>
        <w:adjustRightInd w:val="0"/>
        <w:rPr>
          <w:rFonts w:ascii="TimesNewRoman,Bold" w:hAnsi="TimesNewRoman,Bold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Signature</w:t>
      </w:r>
    </w:p>
    <w:p w:rsidR="00000000" w:rsidRDefault="00785C00"/>
    <w:sectPr w:rsidR="00000000">
      <w:pgSz w:w="12240" w:h="15840"/>
      <w:pgMar w:top="1134" w:right="1418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00"/>
    <w:rsid w:val="007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5D60C1-F695-455C-A2A4-1216D6E6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L'ECONOMIE, DES FINANCES ET DE L’INDUSTRIE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L'ECONOMIE, DES FINANCES ET DE L’INDUSTRIE</dc:title>
  <dc:subject/>
  <dc:creator>Client</dc:creator>
  <cp:keywords/>
  <dc:description/>
  <cp:lastModifiedBy>Xavier LAIR</cp:lastModifiedBy>
  <cp:revision>2</cp:revision>
  <cp:lastPrinted>2003-11-27T15:43:00Z</cp:lastPrinted>
  <dcterms:created xsi:type="dcterms:W3CDTF">2018-01-18T16:49:00Z</dcterms:created>
  <dcterms:modified xsi:type="dcterms:W3CDTF">2018-01-18T16:49:00Z</dcterms:modified>
</cp:coreProperties>
</file>